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A" w:rsidRDefault="003F278A" w:rsidP="003F278A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3F278A" w:rsidRDefault="003F278A" w:rsidP="003F278A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3F278A" w:rsidRDefault="003F278A" w:rsidP="003F278A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5 stycznia 2022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(środa)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14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XLII sesja Rady Gminy Wierzchlas</w:t>
      </w:r>
    </w:p>
    <w:p w:rsidR="003F278A" w:rsidRDefault="003F278A" w:rsidP="003F278A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 sali konferencyjnej Urzędu Gminy</w:t>
      </w:r>
    </w:p>
    <w:p w:rsidR="003F278A" w:rsidRPr="003F278A" w:rsidRDefault="003F278A" w:rsidP="003F278A">
      <w:pPr>
        <w:rPr>
          <w:lang w:eastAsia="pl-PL"/>
        </w:rPr>
      </w:pPr>
    </w:p>
    <w:p w:rsidR="003F278A" w:rsidRPr="00477910" w:rsidRDefault="003F278A" w:rsidP="003F278A">
      <w:pPr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Otwarcie obrad XLII sesji Rady Gminy Wierzchlas.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Przyjęcie protokołu XLI sesji Rady Gminy Wierzchlas.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Sprawozdanie Wójta z działalności między sesjami.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Podjęcie uchwał:</w:t>
      </w:r>
    </w:p>
    <w:p w:rsidR="003F278A" w:rsidRPr="003F278A" w:rsidRDefault="003F278A" w:rsidP="003F278A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w sprawie zmian w budżecie Gminy Wierzchlas na 2022 rok,</w:t>
      </w:r>
    </w:p>
    <w:p w:rsidR="003F278A" w:rsidRPr="003F278A" w:rsidRDefault="003F278A" w:rsidP="003F278A">
      <w:pPr>
        <w:pStyle w:val="Akapitzlist"/>
        <w:numPr>
          <w:ilvl w:val="1"/>
          <w:numId w:val="1"/>
        </w:numPr>
        <w:tabs>
          <w:tab w:val="left" w:pos="851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w sprawie zmian w Wieloletniej Prognozie Finansowej Gminy Wierzchlas,</w:t>
      </w:r>
    </w:p>
    <w:p w:rsidR="003F278A" w:rsidRPr="003F278A" w:rsidRDefault="003F278A" w:rsidP="003F278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w sprawie uchylenia Uchwały nr XXXIV/236/2021 Rady Gminy Wierzchlas z dnia                     24 czerwca 2021 r.</w:t>
      </w:r>
    </w:p>
    <w:p w:rsidR="003F278A" w:rsidRPr="003F278A" w:rsidRDefault="003F278A" w:rsidP="003F278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w sprawie zaciągnięcia pożyczki z Narodowego Funduszu Ochrony Środowiska i Gospodarki Wodnej w Warszawie z przeznaczeniem na realizację zadania inwestycyjnego „Przebudowa stacji wodociągowej w Wierzchlesie”,</w:t>
      </w:r>
    </w:p>
    <w:p w:rsidR="003F278A" w:rsidRPr="003F278A" w:rsidRDefault="003F278A" w:rsidP="003F278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sprawie ustalenia wysokości oraz zasad wypłat diet dla przewodniczących organów wykonawczych jednostek pomocniczych (sołtysów).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Wolne wnioski, interpelacje i zapytania.</w:t>
      </w:r>
    </w:p>
    <w:p w:rsidR="003F278A" w:rsidRPr="003F278A" w:rsidRDefault="003F278A" w:rsidP="003F27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 xml:space="preserve">Zakończenie obrad XLII sesji Rady Gminy Wierzchlas. </w:t>
      </w:r>
    </w:p>
    <w:p w:rsidR="003F278A" w:rsidRDefault="003F278A" w:rsidP="003F278A">
      <w:pPr>
        <w:spacing w:line="360" w:lineRule="auto"/>
      </w:pPr>
    </w:p>
    <w:p w:rsidR="003F278A" w:rsidRDefault="003F278A" w:rsidP="003F2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3F278A" w:rsidRDefault="003F278A" w:rsidP="003F278A">
      <w:pPr>
        <w:rPr>
          <w:sz w:val="24"/>
          <w:szCs w:val="24"/>
        </w:rPr>
      </w:pPr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3F278A" w:rsidRDefault="003F278A" w:rsidP="003F278A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3F278A" w:rsidRDefault="003F278A" w:rsidP="003F278A">
      <w:pPr>
        <w:ind w:left="-284" w:firstLine="284"/>
        <w:rPr>
          <w:rFonts w:ascii="Times New Roman" w:hAnsi="Times New Roman" w:cs="Times New Roman"/>
          <w:sz w:val="26"/>
          <w:szCs w:val="26"/>
        </w:rPr>
      </w:pPr>
    </w:p>
    <w:p w:rsidR="003F278A" w:rsidRPr="003F278A" w:rsidRDefault="003F278A" w:rsidP="003F278A">
      <w:pPr>
        <w:ind w:left="-284" w:firstLine="284"/>
        <w:rPr>
          <w:rFonts w:ascii="Times New Roman" w:hAnsi="Times New Roman" w:cs="Times New Roman"/>
          <w:sz w:val="26"/>
          <w:szCs w:val="26"/>
        </w:rPr>
      </w:pPr>
    </w:p>
    <w:p w:rsidR="003F278A" w:rsidRPr="003F278A" w:rsidRDefault="003F278A" w:rsidP="003F278A">
      <w:pPr>
        <w:tabs>
          <w:tab w:val="left" w:pos="900"/>
        </w:tabs>
        <w:rPr>
          <w:rFonts w:ascii="Times New Roman" w:hAnsi="Times New Roman" w:cs="Times New Roman"/>
          <w:b/>
          <w:sz w:val="26"/>
          <w:szCs w:val="26"/>
        </w:rPr>
      </w:pPr>
      <w:r w:rsidRPr="003F278A">
        <w:rPr>
          <w:rFonts w:ascii="Times New Roman" w:hAnsi="Times New Roman" w:cs="Times New Roman"/>
          <w:b/>
          <w:sz w:val="26"/>
          <w:szCs w:val="26"/>
        </w:rPr>
        <w:t>Wierzchlas, dnia  28 grudnia 2021 r.</w:t>
      </w:r>
    </w:p>
    <w:p w:rsidR="003F278A" w:rsidRPr="003F278A" w:rsidRDefault="003F278A" w:rsidP="003F278A">
      <w:pPr>
        <w:ind w:left="4956"/>
        <w:rPr>
          <w:rFonts w:ascii="Times New Roman" w:hAnsi="Times New Roman" w:cs="Times New Roman"/>
          <w:b/>
          <w:sz w:val="26"/>
          <w:szCs w:val="26"/>
        </w:rPr>
      </w:pPr>
      <w:r w:rsidRPr="003F278A">
        <w:rPr>
          <w:rFonts w:ascii="Times New Roman" w:hAnsi="Times New Roman" w:cs="Times New Roman"/>
          <w:b/>
          <w:sz w:val="26"/>
          <w:szCs w:val="26"/>
        </w:rPr>
        <w:t xml:space="preserve">Przewodniczący Rady Gminy </w:t>
      </w:r>
    </w:p>
    <w:p w:rsidR="003F278A" w:rsidRPr="003F278A" w:rsidRDefault="003F278A" w:rsidP="003F278A">
      <w:pPr>
        <w:ind w:left="4956"/>
        <w:rPr>
          <w:sz w:val="26"/>
          <w:szCs w:val="26"/>
        </w:rPr>
      </w:pPr>
    </w:p>
    <w:p w:rsidR="0003285E" w:rsidRPr="003F278A" w:rsidRDefault="003F278A" w:rsidP="003F278A">
      <w:pPr>
        <w:ind w:left="4956"/>
        <w:rPr>
          <w:rFonts w:ascii="Times New Roman" w:hAnsi="Times New Roman" w:cs="Times New Roman"/>
          <w:b/>
          <w:sz w:val="26"/>
          <w:szCs w:val="26"/>
        </w:rPr>
      </w:pPr>
      <w:r w:rsidRPr="003F278A">
        <w:rPr>
          <w:rFonts w:ascii="Times New Roman" w:hAnsi="Times New Roman" w:cs="Times New Roman"/>
          <w:b/>
          <w:sz w:val="26"/>
          <w:szCs w:val="26"/>
        </w:rPr>
        <w:t xml:space="preserve">        (-) Jacek Młynarczyk </w:t>
      </w:r>
    </w:p>
    <w:sectPr w:rsidR="0003285E" w:rsidRPr="003F278A" w:rsidSect="00075DCA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78A"/>
    <w:rsid w:val="0003285E"/>
    <w:rsid w:val="00196A0D"/>
    <w:rsid w:val="003F278A"/>
    <w:rsid w:val="008325C1"/>
    <w:rsid w:val="008D1924"/>
    <w:rsid w:val="008E6E44"/>
    <w:rsid w:val="00AD7355"/>
    <w:rsid w:val="00B028A6"/>
    <w:rsid w:val="00BE5789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8A"/>
  </w:style>
  <w:style w:type="paragraph" w:styleId="Nagwek2">
    <w:name w:val="heading 2"/>
    <w:basedOn w:val="Normalny"/>
    <w:next w:val="Normalny"/>
    <w:link w:val="Nagwek2Znak"/>
    <w:unhideWhenUsed/>
    <w:qFormat/>
    <w:rsid w:val="003F278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278A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78A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F278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F278A"/>
    <w:pPr>
      <w:spacing w:after="200"/>
      <w:ind w:left="720"/>
      <w:contextualSpacing/>
      <w:jc w:val="left"/>
    </w:pPr>
  </w:style>
  <w:style w:type="paragraph" w:styleId="Tytu">
    <w:name w:val="Title"/>
    <w:basedOn w:val="Normalny"/>
    <w:link w:val="TytuZnak"/>
    <w:qFormat/>
    <w:rsid w:val="003F278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278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278A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3F2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2021-12-30T11:08:00Z</dcterms:created>
  <dcterms:modified xsi:type="dcterms:W3CDTF">2021-12-30T11:11:00Z</dcterms:modified>
</cp:coreProperties>
</file>